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86" w:rsidRPr="00B34586" w:rsidRDefault="00B34586" w:rsidP="00B345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2"/>
        <w:gridCol w:w="1440"/>
      </w:tblGrid>
      <w:tr w:rsidR="00B34586" w:rsidRPr="00B34586" w:rsidTr="00B34586">
        <w:trPr>
          <w:tblCellSpacing w:w="0" w:type="dxa"/>
        </w:trPr>
        <w:tc>
          <w:tcPr>
            <w:tcW w:w="5000" w:type="pct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45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3B12B984" wp14:editId="501B7F2B">
                      <wp:extent cx="9525" cy="9525"/>
                      <wp:effectExtent l="0" t="0" r="0" b="0"/>
                      <wp:docPr id="22" name="AutoShape 21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C309D7" id="AutoShape 21" o:spid="_x0000_s1026" alt="http://public.mkab.hu/icons/ecblank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oSOUH9ECAADlBQAADgAAAAAAAAAAAAAAAAAuAgAAZHJzL2Uyb0RvYy54bWxQ&#10;SwECLQAUAAYACAAAACEA1AjZN9gAAAABAQAADwAAAAAAAAAAAAAAAAArBQAAZHJzL2Rvd25yZXYu&#10;eG1sUEsFBgAAAAAEAAQA8wAAAD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" w:type="pct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inline distT="0" distB="0" distL="0" distR="0" wp14:anchorId="5863C75B" wp14:editId="44A5EF8B">
                      <wp:extent cx="914400" cy="9525"/>
                      <wp:effectExtent l="0" t="0" r="0" b="0"/>
                      <wp:docPr id="21" name="AutoShape 22" descr="http://public.mkab.hu/icons/ecblank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144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E26BB4" id="AutoShape 22" o:spid="_x0000_s1026" alt="http://public.mkab.hu/icons/ecblank.gif" style="width:1in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34586" w:rsidRPr="00B34586" w:rsidRDefault="00B34586" w:rsidP="00B345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B34586" w:rsidRPr="00B34586" w:rsidRDefault="00B34586" w:rsidP="00B3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7439"/>
      </w:tblGrid>
      <w:tr w:rsidR="00B34586" w:rsidRPr="00B34586" w:rsidTr="00B34586">
        <w:trPr>
          <w:tblCellSpacing w:w="0" w:type="dxa"/>
        </w:trPr>
        <w:tc>
          <w:tcPr>
            <w:tcW w:w="900" w:type="pct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Ügyszám: </w:t>
            </w:r>
          </w:p>
        </w:tc>
        <w:tc>
          <w:tcPr>
            <w:tcW w:w="4100" w:type="pct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934/B/2003</w:t>
            </w:r>
            <w:r w:rsidRPr="00B345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B34586" w:rsidRPr="00B34586" w:rsidTr="00B34586">
        <w:trPr>
          <w:tblCellSpacing w:w="0" w:type="dxa"/>
        </w:trPr>
        <w:tc>
          <w:tcPr>
            <w:tcW w:w="5000" w:type="pct"/>
            <w:gridSpan w:val="2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  <w:tr w:rsidR="00B34586" w:rsidRPr="00B34586" w:rsidTr="00B34586">
        <w:trPr>
          <w:tblCellSpacing w:w="0" w:type="dxa"/>
        </w:trPr>
        <w:tc>
          <w:tcPr>
            <w:tcW w:w="5000" w:type="pct"/>
            <w:gridSpan w:val="2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Előadó alkotmánybíró: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Lenkovics</w:t>
            </w:r>
            <w:proofErr w:type="spell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Barnabás Dr.</w:t>
            </w:r>
            <w:r w:rsidRPr="00B345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B34586" w:rsidRPr="00B34586" w:rsidRDefault="00B34586" w:rsidP="00B3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34586" w:rsidRPr="00B34586" w:rsidTr="00B34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34586" w:rsidRPr="00B34586" w:rsidRDefault="00B34586" w:rsidP="00B34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58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3458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határozat száma: </w:t>
      </w:r>
      <w:r w:rsidRPr="00B34586">
        <w:rPr>
          <w:rFonts w:ascii="Arial" w:eastAsia="Times New Roman" w:hAnsi="Arial" w:cs="Arial"/>
          <w:sz w:val="24"/>
          <w:szCs w:val="24"/>
          <w:lang w:eastAsia="hu-HU"/>
        </w:rPr>
        <w:t>934/B/2003. AB határozat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4586" w:rsidRPr="00B34586" w:rsidTr="00B34586">
        <w:trPr>
          <w:tblCellSpacing w:w="0" w:type="dxa"/>
        </w:trPr>
        <w:tc>
          <w:tcPr>
            <w:tcW w:w="11760" w:type="dxa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ABH oldalszáma: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2008/2042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B34586" w:rsidRPr="00B34586" w:rsidRDefault="00B34586" w:rsidP="00B3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4586" w:rsidRPr="00B34586" w:rsidTr="00B34586">
        <w:trPr>
          <w:tblCellSpacing w:w="0" w:type="dxa"/>
        </w:trPr>
        <w:tc>
          <w:tcPr>
            <w:tcW w:w="11760" w:type="dxa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 határozat kelte: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Budapest</w:t>
            </w:r>
            <w:r w:rsidRPr="00B345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, 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2008.03.17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B34586" w:rsidRPr="00B34586" w:rsidRDefault="00B34586" w:rsidP="00B3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34586" w:rsidRPr="00B34586" w:rsidTr="00B34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34586" w:rsidRPr="00B34586" w:rsidRDefault="00B34586" w:rsidP="00B345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4586" w:rsidRPr="00B34586" w:rsidTr="00B34586">
        <w:trPr>
          <w:tblCellSpacing w:w="0" w:type="dxa"/>
        </w:trPr>
        <w:tc>
          <w:tcPr>
            <w:tcW w:w="0" w:type="auto"/>
            <w:vAlign w:val="center"/>
            <w:hideMark/>
          </w:tcPr>
          <w:p w:rsidR="00B34586" w:rsidRPr="00B34586" w:rsidRDefault="00B34586" w:rsidP="00B3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34586" w:rsidRPr="00B34586" w:rsidTr="00B34586">
        <w:trPr>
          <w:tblCellSpacing w:w="0" w:type="dxa"/>
        </w:trPr>
        <w:tc>
          <w:tcPr>
            <w:tcW w:w="5000" w:type="pct"/>
            <w:hideMark/>
          </w:tcPr>
          <w:p w:rsidR="00B34586" w:rsidRPr="00B34586" w:rsidRDefault="00B34586" w:rsidP="00B3458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A MAGYAR KÖZTÁRSASÁG NEVÉBEN!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Alkotmánybíróság jogszabály alkotmányellenességének utólagos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vizsgálatára irányuló indítvány tárgyában meghozta a következő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határozatot: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Az  Alkotmánybíróság a közoktatásról szóló 1993. évi LXXIX.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94. § (3) bekezdésének l) pontja, valamint az 1.  számú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     Harmadik     részének     II.     18.      pontja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elutasítja.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Az  Alkotmánybíróság a közalkalmazottakról szóló 1992.  évi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XXXIII.  törvény  végrehajtásáról a közoktatási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tárgyú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138/1992. (X. 8.) Korm. rendelet 11/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(2)  bekezdése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 megállapítására  és   megsemmisítésére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elutasítja.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  Az  Alkotmánybíróság a közalkalmazottakról szóló 1992.  évi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XXXIII.  törvény  végrehajtásáról a közoktatási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intézményekben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tárgyú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138/1992.  (X.  8.)  Korm.  rendelet   11/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 §   (2)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a jogalkotásról szóló 1987. évi XI. törvény 32. §-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ába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ütközése  megállapítására  és  megsemmisítésére  irányuló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visszautasítja.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B34586" w:rsidRPr="00B34586" w:rsidRDefault="00B34586" w:rsidP="00B3458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Indokolás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Az  indítványozó  a közoktatásról szóló  1993.  évi  LXXIX.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(a  továbbiakban:  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1.  számú   melléklet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Harmadik rész II. 17. pontjának alkotmányossági vizsgálatát, 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—  az Alkotmány 70/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§-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valamint 70/B. § (4) bekezdésének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a  sérelmét  állítva — annak megsemmisítését kérte. A  támadott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  a  közoktatásról szóló 1993.  évi  LXXIX.  törvény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módosításáról  szóló  2003. évi LXI. törvény  (a  továbbiakban: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alapján 2004. szeptember 1-jén lépett hatályba.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Indokolásában  az  indítványozó utalt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16.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(4)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bekezdésére, amely szerint a pedagógusok heti teljes munkaideje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kötelező órából, valamint a nevelő-, illetve nevelő és oktató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munkával  vagy  a  gyermekekkel, tanulókkal  a  szakfeladatának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megfelelő   foglalkozással  összefüggő  feladatok   ellátásához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 időből  áll. Nézete szerint az a rendelkezés,  amely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a munkáltató — amennyiben erre a nevelő és oktató munka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zavartalan  megszervezése érdekében szükség van — elrendelheti,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hogy   a   pedagógus  a  rendes  munkaidőn  belül  a   kötelező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óraszámánál  többet  tanítson, rendkívüli  munkaidőben  végzett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munkát  eredményez.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elrendelt többlet-tanítás  és  az  ahhoz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 feladatok  ellátása  ugyanis  —  a  pedagógusnak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tanítási   órák   tartásán  kívüli,   egyébként   is   fennálló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kötelezettségei  miatt — összességében nem  maradhat  a  rendes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munkaidőn belül. Az indítványozó szerint a támadott szabályozás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„a  pedagógus  munkakörben foglalkoztatott munkavállalók  olyan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indokolatlan  megkülönböztetése a rendkívüli munkaidő  korlátai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körében,  amely a pedagógusoknak a pihenéshez és a szabadidőhöz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  alapvető  jogát  lényeges tartalmában  alkotmányellenesen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korlátozza”.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indítványozó  támadta ezen kívül a  Közokt.tv.  94.  §  (3)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bekezdésének — a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Módtv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által megállapított, 2003. szeptember 1-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től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hatályos — l) pontját, amely szerint a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 rendeletben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szabályozza a „pedagógus-munkakör tekintetében a kötelező  órát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meghaladó tanítás munkáltatói elrendelését”. Nézete szerint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 8. § (2) bekezdésébe ütközik, hogy alapjogot  érintő,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korlátozó   kérdést  nem  törvény,  hanem  alacsonyabb   szintű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rendez.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kormány  a  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említett, jogalkotásra  felhatalmazó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   alapján   2004.   szeptember   1-jei   hatállyal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módosította  a  közalkalmazottakról  szóló  1992.  évi  XXXIII.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végrehajtásáról  a közoktatási  intézményekben  tárgyú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138/1992.  (X. 8.) Korm. rendeletet (a továbbiakban:  Korm.r.).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indítványozó  a  Korm.r.  „alkotmányellenes  felhatalmazás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  hozott  módosításainak”  megsemmisítését  is   kérte.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Sérelmezte  továbbá,  hogy  „míg  a  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Módtv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egyeztetése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2003.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márciusában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lezárult, addig a Korm.r. egyeztetése csak  július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folyamán történt”, holott a jogalkotásról szóló 1987.  évi  XI.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törvény (a továbbiakban: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Jat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32. §-a szerint a jogszabályt 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   végrehajtási   rendeleteket    egyidejűleg    kell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egyeztetni.  Az Alkotmánybíróság által kibocsátott hiánypótlási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felhívásra  válaszul  az indítványozó a  Korm.r.  11/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§  (2)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bekezdésének a megsemmisítésére irányuló határozott  indítványt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tett.   Egyebekben   megismételte  a  korábban   előterjesztett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indokolását.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Az  Alkotmánybíróság megállapította, hogy a  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számú  melléklet  Harmadik részének a  számozását  az  oktatást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érintő  egyes törvények módosításáról szóló 2005. évi  CXLVIII.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45. §-a módosította: az indítványozó által támadott 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17.  pont számozása 18. pontra változott. A közoktatásról szóló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1993. évi LXXIX. törvény módosításáról szóló 2007. évi LXXXVII.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módosította  továbbá  a  támadott  normaszöveget   is.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Figyelemmel  arra,  hogy a módosítás (a „vagy  megállapodásban”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szövegrész   hatályon  kívül  helyezése)   nem   érintette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   által    sérelmezett    normatartalmat,  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az érdemi vizsgálatot az elbíráláskor hatályos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tekintetében folytatta le.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megállapította továbbá  azt  is,  hogy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indítványnak az Alkotmánybírósághoz érkezése óta eltelt  időben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Korm.r.-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indítványozó által  támadott  11/A.  §  (2)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bekezdése  is  módosult.  Tekintettel  azonban  arra,  hogy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indítványozó  nem  tartalmában támadta  a  rendelkezést,  hanem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csupán   a   további   tanítás  elrendelése   feltételeinek  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szabályozására történő felhatalmazás alkotmányosságát  vitatta,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jogszabály-módosítás az előterjesztett indítvány vizsgálatát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akadályozta.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 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Az Alkotmány érintett rendelkezései: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„8.  §  (2)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Magyar  Köztársaságban az alapvető  jogokra  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kötelességekre  vonatkozó szabályokat  törvény  állapítja  meg,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jog lényeges tartalmát azonban nem korlátozhatja.”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„70/A.  §  (1)  A  Magyar  Köztársaság biztosítja  a  területén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tartózkodó  minden  személy  számára  az  emberi,  illetve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állampolgári  jogokat,  bármely  megkülönböztetés,  nevezetesen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faj,  szín,  nem, nyelv, vallás, politikai vagy  más  vélemény,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nemzeti  vagy  társadalmi  származás, vagyoni,  születési  vagy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helyzet szerinti különbségtétel nélkül.”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„70/B.  § (4) Mindenkinek joga van a pihenéshez, a szabadidőhöz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és a rendszeres fizetett szabadsághoz.”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Közokt.tv. támadott — az indítvány elbírálásakor hatályos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— rendelkezései: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„94. § (3) A Kormány rendeletben szabályozza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(…)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l)  pedagógus-munkakör tekintetében a kötelező  órát  meghaladó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tanítás   munkáltatói   elrendelését,  az   elrendelt   tanítás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díjazását,   a  munkaidő-beosztás,  a  munkaidőkeret,   továbbá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nevelési-oktatási intézményekben a rendkívüli  munkavégzés,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ügyeletet  követő  pihenőidő kiadásától  való  eltérés  sajátos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szabályait”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„1.   számú  melléklet  Harmadik  rész  II.  18.  A  munkáltató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elrendelheti,  hogy  a pedagógus a rendes  munkaidőn  belül,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munkakörére,  beosztásár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e törvényben  megállapított  kötelező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órájánál  többet  tanítson, ha erre a nevelő  és  oktató  munka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zavartalan  megszervezése érdekében szükség van. Az  ily  módon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teljesített  kötelező  óráért  a  munkáltató  óradíjat  köteles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fizetni.  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elrendelhető   tanítási    órák    száma    –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kormányrendeletben  meghatározott  kivétellel  –  egy  tanítási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napon  a  kettő,  egy tanítási héten a hat  tanítási  órát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haladhatja  meg. Az óradíj összege nem lehet kevesebb  a  Munka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Törvénykönyve  rendkívüli  munkaidőben  végzett  munkáért  járó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díjazás   megállapítására   vonatkozó   rendelkezései   alapján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számítható  óradíj összegénél.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Kormány rendeletben  állapítja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   a   kötelező   órát   meghaladó  tanítás   elrendelésének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feltételeit, valamint az óradíj megállapításának szabályait.”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3.    A   Korm.r.  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 rendelkezésének   az   indítvány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elbírálásakor hatályos szövege: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„11/A. § (2) A pedagógus-munkakörben az ellátandó heti kötelező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óraszám  felett tanítási óra, foglalkozás megtartása  a  teljes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munkaidőn belül akkor rendelhető el, ha az elrendelt órák száma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napi  két  és  a heti hat órát nem haladja meg,  ezen  felül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továbbá akkor, ha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a) a munkakör nincs betöltve, a pályázati eljárás idejére,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b)  a munkakör nincs betöltve és az álláshelyre kiírt nyilvános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pályázat  sikertelen volt, feltéve továbbá, hogy  a  regionális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munkaügyi  központ regionális kirendeltségének munkaközvetítése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sikertelen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maradt,  valamint  nem  hozták  létre   —   a   Kt.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.]   87.  §-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ának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(4)  bekezdésében  szabályozott   —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pedagógusok  állandó  helyettesítési  rendszerét,  vagy   annak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megkeresése sem vezetett eredményre,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c) a betöltött munkakör feladatainak ellátása betegség, baleset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vagy egyéb ok miatt váratlanul lehetetlenné vált.”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      III.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 nem megalapozott.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1.  Az  Alkotmánybíróság a 69/2006. (XII. 6.) AB  határozatában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már vizsgálta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1. számú melléklet Harmadik rész II.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18.    pontjának   alkotmányosságát,   jelen    ügyben    ezért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mindenekelőtt abban a kérdésben kellett állást foglalnia,  hogy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indítvány nem minősül-e „ítélt dolognak”.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  Alkotmánybíróság   ideiglenes   ügyrendjéről   és   annak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közzétételéről   szóló,  módosított  és  egységes   szerkezetbe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foglalt  3/2001. (XII. 3.)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Tü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határozat (ABH  2003,  2065.;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továbbiakban: Ügyrend) 31.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c) pontja értelmében  ítélt  dolog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címén az eljárás megszüntetésének van helye, ha az indítvány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által  érdemben  már  elbírált  jogszabállyal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jogszabály  (jogszabályi rendelkezés) felülvizsgálatára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  és az indítványozó az Alkotmánynak ugyanarra a  §-ára,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alkotmányos elvére (értékére) — ezen belül  —  azonos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összefüggésre hivatkozva kéri  az  alkotmánysértés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megállapítását.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Az  Alkotmánybíróság  gyakorlata  szerint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indítványban felvetett kérdés akkor res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iudicata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ha  az  újabb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indítványt   ugyanazon  jogszabályi  rendelkezésre  vonatkozóan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okból vagy összefüggésben terjesztik elő. (1620/B/1991.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  határozat, ABH 1991, 972, 973.) Ha az újabb indítványt  más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okra,   más   alkotmányossági   összefüggésre   alapítják,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 az   újabb  indítvány  érdemi   vizsgálatába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bocsátkozik. [35/1997. (VI. 11.) AB határozat, ABH  1997,  200,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212.;  17/1999.  (VI. 11.) AB határozat, ABH 1999,  131,  133.;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5/2002. (II. 22.) AB határozat, ABH 2002, 78, 81.; 37/2004. (X.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15.) AB határozat, ABH 2004, 908, 911.]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korábbi  indítvány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1. számú melléklet  Harmadik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rész  II. 18. pontjával kapcsolatban az Alkotmány 70/B.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(2)-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(3)   bekezdéseinek   —  tehát  a  jelen  indítványtól   eltérő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szakaszoknak  — a sérelmét  állította.  A  korábbi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ügyben   továbbá  az  alkotmányossági  vizsgálat   a   támadott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jogszabályhelynek  a  közoktatásról  szóló  1993.  évi   LXXIX.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   módosításáról  szóló  2006.  évi   LXXI.   törvénnyel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megállapított szövegváltozatára vonatkozott.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alapján az ügyben „ítélt dolog” nem állapítható  meg,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ezért  az  Alkotmánybíróság  az indítvány  érdemi  vizsgálatába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bocsátkozott.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2.  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Annak  eldöntése  érdekében,  hogy  az  indítványozó  által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rendelkezés  érinti-e a  pihenéshez  való  jogot,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Alkotmánybíróságnak  mindenekelőtt azt  kellett  megvizsgálnia,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hogy  a  munkáltató  által  a  Közokt.tv.  1.  számú  melléklet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Harmadik  rész  II.  18.  pontja alapján elrendelhető  többlet-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tanítás rendkívüli munkavégzésnek minősül-e.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16.  §  (1) bekezdése értelmében  a  közoktatási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intézmény     munkavállalói,     illetőleg    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közalkalmazottai</w:t>
            </w:r>
            <w:proofErr w:type="spell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tekintetében   —   a   munkáltatótól   függően   —   a    Munka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Törvénykönyvéről   szóló   1992.   évi   XXII.   törvényt    (a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továbbiakban:  Mt.) vagy a közalkalmazottak jogállásáról  szóló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törvényt e törvény rendelkezéseivel együtt kell alkalmazni.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említett jogszabályok összevetése alapján a pedagógusok  teljes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munkaidejét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az Mt. 117/B. § (1) bekezdése határozza meg,  annak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mértéke napi nyolc, heti negyven óra.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pedagógusok  munkavégzésének egyik  sajátossága,  hogy  —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16.  §  (4)  bekezdése  értelmében  —  heti  teljes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munkaidejük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két fő részből tevődik össze: a kötelező  órákból,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valamint  a nevelő-, illetve nevelő és oktató munkával  vagy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gyermekekkel,    tanulókkal   a   szakfeladatuknak    megfelelő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foglalkozással   összefüggő  feladatok  ellátásához   szükséges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időből.  Ugyanezen  jogszabályhely mondja ki  azt  is,  hogy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pedagógus  a  kötelező óráját a gyermekekkel,  tanulókkal  való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közvetlen   foglalkozásra,  illetőleg  a  tanórai   foglalkozás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keretében  való  nevelésre,  oktatásra  köteles  fordítani.  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Közokt.tv.  1.  számú melléklet Harmadik rész I. tartalmazza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kötelező  órák  számát, a II. 6. pont pedig azt, hogy  pontosan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mely tevékenységek tartoznak ebbe a körbe. Szintén a törvény 1.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számú  melléklete  (Harmadik rész II. 9.  pont)  határozza  meg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részletesen, hogy a teljes rendes munkaidő tanítási órákkal  le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nem   kötött  részében  milyen  feladatokat  kell  ellátnia  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pedagógusoknak:  „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pedagógus az óraközi szünetben  a  tanulók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felügyeletével,  a következő tanóra előkészítésével  összefüggő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feladatokat látja el.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teljes rendes munkaidő tanítási órákkal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  nem  kötött  részében munkaköri feladatként —  a  munkaköri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leírásában  foglaltak  szerint  vagy  a  munkáltató   utasítása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alapján — ellátja a nevelő és oktató munkával összefüggő  egyéb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feladatokat,   így   különösen:  felkészül  a  foglalkozásokra,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tanítási  órákra,  előkészíti  azokat,  értékeli  a  gyermekek,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tanulók  teljesítményét,  elvégzi a pedagógiai  tevékenységéhez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kapcsolódó ügyviteli tevékenységet, részt vesz a nevelőtestület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munkájában,  a  hátrányos  helyzetű  tanulók  és  a  tehetséges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tanulók  felkészülésének segítésében, az iskola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kulturális  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sportéletének,     a     szabadidő     hasznos     eltöltésének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megszervezésében, az iskola pedagógiai programjában  rögzített,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tanítási  órák keretében meg nem valósítható  osztály-  vagy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csoportfoglalkozások   [53.   §   (2)   bekezdés   e)   pontja]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megtartásában, a gyermekek, tanulók felügyeletének ellátásában,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diákmozgalom  segítésével,  a  tanuló-  és  gyermekbalesetek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megelőzésével,  a  gyermek-  és  ifjúságvédelemmel   összefüggő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    végrehajtásában,   az   intézményi  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dokumentumok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készítésében. (…)” A Mód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hatályba lépése előtt  a  kötelező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óraszámon  felüli tanítás a Közokt.tv. értelmében  túlmunkának,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rendkívüli munkavégzésnek minősült, amelyért túlmunkadíj  járt.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Ettől  eltérően a hatályos szabályozás (a Közokt.tv.  1.  számú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  Harmadik részének II. 18. pontja) a rendes munkaidőn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— mindazonáltal továbbra is külön óradíj fizetése mellett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—  teszi lehetővé többlet-tanítás elrendelését.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külön  óradíj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összege  nem lehet kevesebb az Mt.-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 rendkívüli munkaidőben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 munkáért   járó  díjazás  megállapítására   vonatkozó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   alapján   számítható   óradíj   összegénél;  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 továbbá  azt  is  előírja,  hogy   többlet-tanítás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elrendelésére  csak abban az esetben kerülhet sor,  ha  arra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nevelő  és  oktató  munka  zavartalan  megszervezése  érdekében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  van,  mértéke pedig — kormányrendeletben meghatározott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kivétellel  —  a  napi  kettő, illetve  a  heti  hat  órát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haladhatja meg.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kötelező  órák (tanórák, egyéb foglalkozások) időben  kötött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jellegére   tekintettel   a  pedagógus   a   munkáltató   által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esetlegesen  elrendelt  többlet-tanítást  értelemszerűen   csak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munkaidejének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egyéb részében tudja elvégezni. A munkaidő  ezen,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kötelező  órákkal  le  nem kötött része  (Közokt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1.  számú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  Harmadik  rész  II. 9.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pont)  egyrészt  a  kötelező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órákkal   közvetlenül  összefüggő  —  előkészítő,  értékelő   —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munkából áll, ezen túlmenően pedig a pedagógusnak az egyéb,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oktatási intézmény rendeltetésszerű működéséhez szükséges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  elvégzésében is közre kell működnie (pl.  a  tanulók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felügyelete,   az  iskola  kulturális  és  sport   életének  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megszervezése, stb.). E feladatokat a munkáltató —  munkáltatói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jogait  a vonatkozó jogszabályok és a munkaköri leírás keretein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belül  gyakorolva — belátása szerint oszthatja el.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Ahogyan  azt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a  69/2006. (XII.  6.)  AB  határozatában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kifejtette:  „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Közokt.tv. az 1. számú melléklet Harmadik  rész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II.  9.  pontja nem minden pedagógus által kötelezően ellátandó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feladatokat határoz meg. Az ott szabályozott feladatok jelentős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része   olyan,   az   intézmény  rendeltetésszerű   működéséhez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szükséges   feladat,   amelyek   megosztása   az   intézményben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alkalmazott  pedagógusok között az intézmény sajátosságait  (az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intézmény  rendeltetését,  tárgyi és  személyi  feltételeit,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gyermekek,   tanulók  létszámát,  összetételét,  az   intézmény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pedagógiai  programját  stb.)  figyelembe  véve  az   intézmény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vezetőjének, a munkáltatónak a feladata. Ezeknek a feladatoknak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intézményben dolgozó pedagógusok közötti megosztása során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munkáltató felelősségi körébe tartozik annak biztosítása,  hogy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adott  intézményen  belül a jogegyenlőség és  a  végzett  munka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mennyiségének  és  minőségének megfelelő  bérezéshez  való  jog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követelménye  ne  sérüljön.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Korm.r.  11/B.  §  (2)  bekezdése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[jelenleg (3) bekezdése] előírja a munkáltató számára,  hogy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feladatok  elosztása  során az egyenlő  bánásmód  követelményét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köteles  megtartani. Ennek érdekében a tanítás  elrendelésénél,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illetőleg az egyéb feladatok szétosztásánál biztosítani kell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arányos és egyenletes feladatelosztást a nevelőtestület  tagjai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között.” (ABH 2006, 770, 778-779.)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álláspontja szerint  a  munkáltató  által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elrendelt  többlet-tanítás  nem jelent  feltétlenül  rendkívüli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munkavégzést.  Amennyiben  ugyanis  a  megtartott  kötelező  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többlet  tanítási  órák  száma,  valamint  az  egyéb  feladatok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ellátására  fordított  idő együttesen nem  lépi  túl  a  teljes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munkaidő   tartamát,  rendes  munkaidőben  való  foglalkoztatás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valósul   meg.  Az  Alkotmánybíróság  álláspontja   szerint  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jogalkotónak lehetősége van felhatalmazni a munkáltatót, hogy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pedagógus  feladatai  között  átcsoportosítást  hajtson  végre,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tehát  például  a  munkaidő  kötelező  órákkal  le  nem  kötött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részében meghatározott számú tanítási óra tartását rendelje el.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többlet-tanítás elrendelésekor pedig a munkáltató felelősségi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  tartozik,  hogy megfelelő munkaszervezéssel  —  például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bizonyos  feladatok újraelosztásával — biztosítsa  a  pedagógus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egyéb  feladatainak az ellátásához szükséges időt,  és  így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oktatási intézmény rendeltetésszerű működését. A Korm.r.  11/B.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§  (3) bekezdése alapján a munkáltató kötelessége továbbá, hogy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 körben az egyenlő bánásmód követelményét is érvényesítse.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miatt  az  Alkotmánybíróság álláspontja  szerint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ütközik az Alkotmánynak az indítványozó által felhívott 70/B. §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(4)  bekezdésébe, tehát nem sérti a pihenéshez való jogot, hogy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pedagógusoknak — a munkáltató utasítása alapján —  a  rendes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munkaidejük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részeként a kötelező óraszámukon  felüli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többlet-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tanítást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 kell   végezniük.   A   pedagógusok  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munkaidejének</w:t>
            </w:r>
            <w:proofErr w:type="spell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sajátosságai  —  ezen belül is elsősorban a  munkaidő  tanítási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órákkal  le nem kötött részében elvégzendő feladatok jellege  —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miatt  ezen  munkavégzés nem tekinthető rendkívüli  munkaidőben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végzett  munkának.  Az Alkotmánybíróság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1.  számú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   Harmadik  rész  II.  18.  pontja   megsemmisítésére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irányuló indítványt ezért elutasítja.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Alkotmánybíróságról  szóló  1989.  évi  XXXII.  törvény  (a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továbbiakban:  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Abtv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.)  1.  §-a  alapján  az   Alkotmánybíróság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hatásköre  nem  terjed  ki  a jogalkalmazás  jogszerűségének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vizsgálatára. Az Alkotmánybíróság rámutat arra, hogy a többlet-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tanítás  elrendelésével kapcsolatos esetleges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konkrét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jogviták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eldöntése, tehát egyedi esetekben annak a megállapítása, hogy —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összefüggésben a pedagógus egyéb kötelezettségeivel — a többlet-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tanítás   elrendelése  a  gyakorlatban  rendkívüli  munkavégzés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elrendelését jelentette-e, a munkaügyi bíróságok feladata.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3.  Az  indítványozó  úgy  véli, hogy  a  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1.  számú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melléklet   Harmadik   rész   II.   18.   pontja   indokolatlan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megkülönböztetést  valósít meg „a rendkívüli munkaidő  korlátai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körében”.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Alkotmánybíróság  gyakorlata szerint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diszkrimináció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akkor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állapítható  meg,  ha  valamely személyt  vagy  csoportot  más,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azonos  helyzetben  lévő személyekkel vagy  csoporttal  történt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összehasonlításban kezelnek hátrányosabb módon.  [21/1990.  (X.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4.)  AB  határozat,  ABH 1990, 73, 78.; 32/1991.  (VI.  6.)  AB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1991, 146, 142.; 43/B/1992. AB határozat,  ABH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1994,  744,  745.; 32/2005. (IX. 15.) AB határozat,  ABH  2005,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329,  338.]  A megkülönböztetés akkor alkotmányellenes,  „ha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a szabályozás szempontjából azonos csoportba tartozó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(egymással    összehasonlítható)   jogalanyok    között    tesz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különbséget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anélkül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,  hogy  annak alkotmányos  indoka  lenne”.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(191/B/1992. AB határozat, ABH 1992, 592, 593.)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Az Alkotmánybíróság az indítványban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megfogalmazottak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 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támadott    jogszabályhely   —amely   a   pedagógusok    rendes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munkaidejének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meghatározott  részére  vonatkozó   munkáltatói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utasítási  joggal  kapcsolatos — és  a  diszkrimináció  tilalma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között  értékelhető alkotmányjogi összefüggést nem  talált.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 gyakorlata szerint az érdemi  alkotmányossági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összefüggés   hiánya  az  indítvány  elutasítását  eredményezi.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[698/B/1990.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AB határozat, ABH 1991, 716-717.;  35/1994.  (VI.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24.)  AB  határozat,  ABH  1994,  197,  201.;  720/B/1997.   AB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1998, 1005, 1007.; 380/D/1999. AB határozat, ABH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2004, 1306, 1313-1314.] Az Alkotmánybíróság ezért az indítványt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ebben a tekintetben is elutasítja.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4.  Az  Alkotmány  8.  § (2) bekezdése értelmében  az  alapvető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jogokra   és   kötelességekre  vonatkozó  szabályokat   törvény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állapítja  meg,  alapvető jog lényeges  tartalmát  azonban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korlátozhatja.  „Valamely alapjog tartalmának meghatározása  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lényeges  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garanciáinak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 megállapítása   csakis    törvényben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történhet,  törvény  kell  továbbá  az  alapjog  közvetlen   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jelentős  korlátozásához is.” [64/1991. (XII. 17.) AB határozat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 1991, 297, 300.] A pihenéshez és a szabadidőhöz  való  jog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korlátozása csak törvényi szinten lehetséges, az Alkotmány 8. §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(2)  bekezdését  sérti, ha ezeket a kérdéseket  nem  törvényben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szabályozzák, hanem végrehajtási rendeletben.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Tekintve,   hogy   az  Alkotmánybíróság  fentiekben   kifejtett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álláspontja  szerint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1. számú  melléklet  Harmadik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rész  II. 18. pontja nem valósít meg alapjog-korlátozást —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irinti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 a  pihenéshez  való jogot —,  az  Alkotmánybíróság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találta alkotmányellenesnek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94. § (3) bekezdés  l)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pontját,  amely  a  kormányt hatalmazza fel  a  többlet-tanítás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elrendelése   részletes  szabályainak  a  megállapítására.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e körben utal továbbá a 72/2006. (XII. 15.) AB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határozatában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megfogalmazottakra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is, amely szerint „a munkajogi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szabályozás  sokszintű,  az alapvető szabályokat  törvények,  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azok  egy-egy  ágazatra  történő lebontását  kormányrendeletek,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miniszteri  rendeletek, 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szerződések  és  szabályzatok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tartalmazzák.  Minden  olyan  munkajogi  szabály,   amely   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alapvető jogokat korlátoz, törvényi szintnél alacsonyabb szintű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jogszabályban,  illetve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kollektív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szerződésben,  szabályzatban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szabályozható.” [ABH 2006, 819, 844.]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Figyelemmel  arra, hogy a jogalkotásra felhatalmazó rendelkezés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alkotmányellenességének a megállapítására nem  került  sor,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Alkotmánybíróság elutasítja a Korm.r. 11/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§ (2)  bekezdésének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  megsemmisítésére irányuló — a Közokt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.tv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94. § (3)  bekezdés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l) pontjának vélt alkotmányellenességére alapított — indítványt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is.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5.   Az  Alkotmánybíróság  végezetül  megállapította,  hogy  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indítványozónak   a  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Jat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 32.  §-ára  vonatkozó   hivatkozása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elbírálásra alkalmatlan.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Ügyrend  21. §-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értelmében az Alkotmánybíróság  eljárására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vonatkozó indítványnak határozottnak kell lennie: a vizsgálandó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jogszabály  megjelölése  mellett  az  Alkotmánynak   azokat   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rendelkezéseit is tartalmaznia kell, amelyeket az  indítványozó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szerint   a  hivatkozott  jogszabály  sért.  Jelen  ügyben   az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indítványozó a hiánypótlási felhívást követően is csupán a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Jat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törvényi  rendelkezésének a megsértésére hivatkozott,  továbbra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sem   jelölte  meg  azonban,  hogy  álláspontja  szerint   mely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alkotmányos  rendelkezés sérült az ügyben. Az  Alkotmánybíróság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állandó  gyakorlata szerint az Alkotmány 7. § (2)  bekezdése  —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amely  szerint a jogalkotás rendjét törvény szabályozza  —  nem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emeli  az  Alkotmány szintjére a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Jat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. normáit. [496/B/1990.  AB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 ABH  1991,  493,  496.;  14/1992.  (III.  30.)   AB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határozat, ABH 1992, 338, 342.; 7/1993. (II. 15.) AB határozat,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ABH 1993, 418, 419.; 50/1998. (XI. 27.) AB határozat, ABH 1998,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387, 396.; 74/2006. (XII. 15.) AB határozat, 870, 873.]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 indítvány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ezen</w:t>
            </w:r>
            <w:proofErr w:type="gram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részét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mindezek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alapján az Alkotmánybíróság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az Ügyrend 29. § d) pontja alapján visszautasította.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B34586" w:rsidRPr="00B34586" w:rsidRDefault="00B34586" w:rsidP="00B34586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     </w:t>
            </w:r>
            <w:proofErr w:type="gram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Dr. Bihari Mihály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        az Alkotmánybíróság elnöke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Balogh Elemér      Dr.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Bragyova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András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lastRenderedPageBreak/>
              <w:t>          Dr. Holló András           Dr. Kiss László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Kovács Péter      Dr.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Kukorelli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István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Lenkovics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Barnabás    Dr. Lévay Miklós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előadó alkotmánybíró         alkotmánybíró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          Dr.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Paczolay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Péter    Dr. </w:t>
            </w:r>
            <w:proofErr w:type="spellStart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Trócsányi</w:t>
            </w:r>
            <w:proofErr w:type="spellEnd"/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 xml:space="preserve"> László</w:t>
            </w:r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br/>
            </w:r>
            <w:r w:rsidRPr="00B34586">
              <w:rPr>
                <w:rFonts w:ascii="Courier New" w:eastAsia="Times New Roman" w:hAnsi="Courier New" w:cs="Courier New"/>
                <w:sz w:val="20"/>
                <w:szCs w:val="20"/>
                <w:lang w:eastAsia="hu-HU"/>
              </w:rPr>
              <w:t>          alkotmánybíró                alkotmánybíró</w:t>
            </w:r>
            <w:proofErr w:type="gramEnd"/>
            <w:r w:rsidRPr="00B3458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:rsidR="00B34586" w:rsidRPr="00B34586" w:rsidRDefault="00B34586" w:rsidP="00B34586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:rsidR="00B34586" w:rsidRPr="00B34586" w:rsidRDefault="00B34586" w:rsidP="00B34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3458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hu-HU"/>
              </w:rPr>
              <w:t>.</w:t>
            </w:r>
          </w:p>
        </w:tc>
      </w:tr>
    </w:tbl>
    <w:p w:rsidR="00B34586" w:rsidRPr="00B34586" w:rsidRDefault="00B34586" w:rsidP="00B345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B34586">
        <w:rPr>
          <w:rFonts w:ascii="Arial" w:eastAsia="Times New Roman" w:hAnsi="Arial" w:cs="Arial"/>
          <w:vanish/>
          <w:sz w:val="16"/>
          <w:szCs w:val="16"/>
          <w:lang w:eastAsia="hu-HU"/>
        </w:rPr>
        <w:lastRenderedPageBreak/>
        <w:t>Az űrlap alja</w:t>
      </w:r>
    </w:p>
    <w:p w:rsidR="00EC3B57" w:rsidRDefault="00EC3B57"/>
    <w:sectPr w:rsidR="00E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86"/>
    <w:rsid w:val="00B34586"/>
    <w:rsid w:val="00E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AC74"/>
  <w15:chartTrackingRefBased/>
  <w15:docId w15:val="{5FAC6325-21E0-4D6D-A394-00B1BDCB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3286</Words>
  <Characters>22675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</dc:creator>
  <cp:keywords/>
  <dc:description/>
  <cp:lastModifiedBy>Jav</cp:lastModifiedBy>
  <cp:revision>1</cp:revision>
  <dcterms:created xsi:type="dcterms:W3CDTF">2016-04-23T16:20:00Z</dcterms:created>
  <dcterms:modified xsi:type="dcterms:W3CDTF">2016-04-23T16:21:00Z</dcterms:modified>
</cp:coreProperties>
</file>